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Meteorological observation data at Maqu grassland site from 2017 to 2020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the conventional meteorological observation data of Maqu grassland observation site in the source region of the Yellow River from 2017 to 2020, obtained by using Kipp&amp;Zonen CNR4, Vaisala HMP155A, PTB110 and other instruments, with a time resolution of half an hour.  Mainly include wind speed, wind direction, temperature, relative humidity, air pressure, downward short-wave radiation, downward long-wave radiation, precipitation.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Earth SurFace Processes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Grassland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Source Region of the Yellow River</w:t>
      </w:r>
      <w:r>
        <w:t xml:space="preserve">, 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Maqu</w:t>
        <w:br/>
      </w:r>
      <w:r>
        <w:rPr>
          <w:sz w:val="22"/>
        </w:rPr>
        <w:t>Time：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north：33.864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west：102.1458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east：102.1458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south：33.864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MENG Xianhong, LI Zhaoguo. Meteorological observation data at Maqu grassland site from 2017 to 2020. A Big Earth Data Platform for Three Poles, doi:10.11888/Atmos.tpdc.272856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t>CASEarth:Big Earth Data for Three Poles（grant No. XDA19070000）</w:t>
        <w:br/>
      </w: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MENG Xianhong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mxh@lzb.ac.cn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Zhaoguo</w:t>
        <w:br/>
      </w:r>
      <w:r>
        <w:rPr>
          <w:sz w:val="22"/>
        </w:rPr>
        <w:t xml:space="preserve">unit: </w:t>
      </w:r>
      <w:r>
        <w:rPr>
          <w:sz w:val="22"/>
        </w:rPr>
        <w:t>Northwest Institute of Eco-Environment and Resources, CAS</w:t>
        <w:br/>
      </w:r>
      <w:r>
        <w:rPr>
          <w:sz w:val="22"/>
        </w:rPr>
        <w:t xml:space="preserve">email: </w:t>
      </w:r>
      <w:r>
        <w:rPr>
          <w:sz w:val="22"/>
        </w:rPr>
        <w:t>zgli@lzb.ac.cn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