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Kekexili - Land Cover and Vegetation Type Dataset (2020)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植被类型</w:t>
        <w:br/>
      </w:r>
      <w:r>
        <w:rPr>
          <w:sz w:val="22"/>
        </w:rPr>
        <w:t>Discipline：</w:t>
      </w:r>
      <w:r>
        <w:rPr>
          <w:sz w:val="22"/>
        </w:rPr>
        <w:t>terrestrial</w:t>
        <w:br/>
      </w:r>
      <w:r>
        <w:rPr>
          <w:sz w:val="22"/>
        </w:rPr>
        <w:t>Places：</w:t>
      </w:r>
      <w:r>
        <w:rPr>
          <w:sz w:val="22"/>
        </w:rPr>
        <w:t>Qinghai Province</w:t>
      </w:r>
      <w:r>
        <w:t xml:space="preserve">, </w:t>
      </w:r>
      <w:r>
        <w:rPr>
          <w:sz w:val="22"/>
        </w:rPr>
        <w:t>southern part</w:t>
      </w:r>
      <w:r>
        <w:t xml:space="preserve">, </w:t>
      </w:r>
      <w:r>
        <w:rPr>
          <w:sz w:val="22"/>
        </w:rPr>
        <w:t>Sanjiangyuan National Park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3.Filesize：54.2MB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east：96.3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WEI   Yanqiang . Kekexili - Land Cover and Vegetation Type Dataset (2020).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WEI   Yanqiang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