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Risk assessment dataset of storm surge disasters at hundred meters scale of Pan-third pole critical node region (2018)</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the Belt and Road, indicators related to the disaster risk and vulnerability of storm surge in each unit are extracted and calculated using100 meter grid as evaluation unit, such as historical intensity of tide level frequency of storm historic arrival, historical loss, population density, land cover type, etc. The comprehensive index of storm surge disaster risk is constructed, and the risk index of storm surge is obtained by using the weighted method. Finally, the storm surge risk index is normalized to 0-1, which can be used to evaluate the risk level of storm surge in each assessment unit.At the same time, the data set includes the corresponding risk index, exposure index and vulnerability assessment results.The key nodes data set only contains  11 nodes which have risks ((Chittagong port, Bangladesh; Kyaukpyu Port, Myanmar; Kolkata, India; Yangon Port, Myanmar; Karachi, Pakistan; Dhaka, Bangladesh; Mumbai, India; Hambantota Port, Sri Lanka; Bangkok, Thailand; China-Myanmar Oil and Gas Pipeline; Jakarta-Bandung High-speed Railway).</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3.Filesize：1530.0MB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2018-01-06 16:00:00+00:00</w:t>
      </w:r>
      <w:r>
        <w:rPr>
          <w:sz w:val="22"/>
        </w:rPr>
        <w:t>--</w:t>
      </w:r>
      <w:r>
        <w:rPr>
          <w:sz w:val="22"/>
        </w:rPr>
        <w:t>2019-01-05 16:00:00+00:00</w:t>
      </w:r>
    </w:p>
    <w:p>
      <w:r>
        <w:rPr>
          <w:sz w:val="32"/>
        </w:rPr>
        <w:t>6、Reference method</w:t>
      </w:r>
    </w:p>
    <w:p>
      <w:pPr>
        <w:ind w:left="432"/>
      </w:pPr>
      <w:r>
        <w:rPr>
          <w:sz w:val="22"/>
        </w:rPr>
        <w:t xml:space="preserve">References to data: </w:t>
      </w:r>
    </w:p>
    <w:p>
      <w:pPr>
        <w:ind w:left="432" w:firstLine="432"/>
      </w:pPr>
      <w:r>
        <w:t xml:space="preserve">Risk assessment dataset of storm surge disasters at hundred meters scale of Pan-third pole critical node region (2018). A Big Earth Data Platform for Three Poles, </w:t>
      </w:r>
      <w:r>
        <w:rPr>
          <w:sz w:val="22"/>
        </w:rPr>
        <w:t>2020</w:t>
      </w:r>
    </w:p>
    <w:p>
      <w:pPr>
        <w:ind w:left="432"/>
      </w:pPr>
      <w:r>
        <w:rPr>
          <w:sz w:val="22"/>
        </w:rPr>
        <w:t xml:space="preserve">References to articles: </w:t>
      </w:r>
    </w:p>
    <w:p>
      <w:pPr>
        <w:ind w:left="864"/>
      </w:pPr>
      <w:r>
        <w:t>殷杰. (2011). 中国沿海台风风暴潮灾害风险评估研究. 华东师范大学.</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