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data of field investigation and experimental observations of intraspecific and interspecific relationship (2013)</w:t>
      </w:r>
    </w:p>
    <w:p>
      <w:r>
        <w:rPr>
          <w:sz w:val="32"/>
        </w:rPr>
        <w:t>1、Description</w:t>
      </w:r>
    </w:p>
    <w:p>
      <w:pPr>
        <w:ind w:firstLine="432"/>
      </w:pPr>
      <w:r>
        <w:rPr>
          <w:sz w:val="22"/>
        </w:rPr>
        <w:t>The dataset investigated the growth status of plants and leaf morphological indexes of single and conjoined red sand and pearl in the middle and lower reaches of heihe river basin in 2013.</w:t>
        <w:br/>
        <w:t>The growth indexes were crown width, plant height, and biomass of fine roots and thick roots.Leaf shape indicators are: length, width, thickness, and leaf area, volume, etc.The experimental observation indexes are: leaf nitrogen content, water potential, gas exchange data, chlorophyll fluorescence data.</w:t>
        <w:br/>
        <w:t>Data include: field observation data and explanatory documents.</w:t>
      </w:r>
    </w:p>
    <w:p>
      <w:r>
        <w:rPr>
          <w:sz w:val="32"/>
        </w:rPr>
        <w:t>2、Keywords</w:t>
      </w:r>
    </w:p>
    <w:p>
      <w:pPr>
        <w:ind w:left="432"/>
      </w:pPr>
      <w:r>
        <w:rPr>
          <w:sz w:val="22"/>
        </w:rPr>
        <w:t>Theme：</w:t>
      </w:r>
      <w:r>
        <w:rPr>
          <w:sz w:val="22"/>
        </w:rPr>
        <w:t>Desert</w:t>
      </w:r>
      <w:r>
        <w:t>,</w:t>
      </w:r>
      <w:r>
        <w:rPr>
          <w:sz w:val="22"/>
        </w:rPr>
        <w:t>Vegetation</w:t>
      </w:r>
      <w:r>
        <w:t>,</w:t>
      </w:r>
      <w:r>
        <w:rPr>
          <w:sz w:val="22"/>
        </w:rPr>
        <w:t>Interspecies relation</w:t>
      </w:r>
      <w:r>
        <w:t>,</w:t>
      </w:r>
      <w:r>
        <w:rPr>
          <w:sz w:val="22"/>
        </w:rPr>
        <w:t>Desert ecosystem</w:t>
      </w:r>
      <w:r>
        <w:t>,</w:t>
      </w:r>
      <w:r>
        <w:rPr>
          <w:sz w:val="22"/>
        </w:rPr>
        <w:t>Vegetation structure</w:t>
        <w:br/>
      </w:r>
      <w:r>
        <w:rPr>
          <w:sz w:val="22"/>
        </w:rPr>
        <w:t>Discipline：</w:t>
      </w:r>
      <w:r>
        <w:rPr>
          <w:sz w:val="22"/>
        </w:rPr>
        <w:t>Terrestrial Surface</w:t>
        <w:br/>
      </w:r>
      <w:r>
        <w:rPr>
          <w:sz w:val="22"/>
        </w:rPr>
        <w:t>Places：</w:t>
      </w:r>
      <w:r>
        <w:rPr>
          <w:sz w:val="22"/>
        </w:rPr>
        <w:t>Heihe River Basin</w:t>
      </w:r>
      <w:r>
        <w:t xml:space="preserve">, </w:t>
      </w:r>
      <w:r>
        <w:rPr>
          <w:sz w:val="22"/>
        </w:rPr>
        <w:t>Middle and Lower Reaches</w:t>
        <w:br/>
      </w:r>
      <w:r>
        <w:rPr>
          <w:sz w:val="22"/>
        </w:rPr>
        <w:t>Time：</w:t>
      </w:r>
      <w:r>
        <w:rPr>
          <w:sz w:val="22"/>
        </w:rPr>
        <w:t>2013</w:t>
      </w:r>
    </w:p>
    <w:p>
      <w:r>
        <w:rPr>
          <w:sz w:val="32"/>
        </w:rPr>
        <w:t>3、Data details</w:t>
      </w:r>
    </w:p>
    <w:p>
      <w:pPr>
        <w:ind w:left="432"/>
      </w:pPr>
      <w:r>
        <w:rPr>
          <w:sz w:val="22"/>
        </w:rPr>
        <w:t>1.Scale：None</w:t>
      </w:r>
    </w:p>
    <w:p>
      <w:pPr>
        <w:ind w:left="432"/>
      </w:pPr>
      <w:r>
        <w:rPr>
          <w:sz w:val="22"/>
        </w:rPr>
        <w:t>2.Projection：None</w:t>
      </w:r>
    </w:p>
    <w:p>
      <w:pPr>
        <w:ind w:left="432"/>
      </w:pPr>
      <w:r>
        <w:rPr>
          <w:sz w:val="22"/>
        </w:rPr>
        <w:t>3.Filesize：3.7MB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north：42.1147222222222</w:t>
            </w:r>
          </w:p>
        </w:tc>
        <w:tc>
          <w:tcPr>
            <w:tcW w:type="dxa" w:w="2880"/>
          </w:tcPr>
          <w:p>
            <w:r>
              <w:t>-</w:t>
            </w:r>
          </w:p>
        </w:tc>
      </w:tr>
      <w:tr>
        <w:tc>
          <w:tcPr>
            <w:tcW w:type="dxa" w:w="2880"/>
          </w:tcPr>
          <w:p>
            <w:r>
              <w:t>west：99.752777777</w:t>
            </w:r>
          </w:p>
        </w:tc>
        <w:tc>
          <w:tcPr>
            <w:tcW w:type="dxa" w:w="2880"/>
          </w:tcPr>
          <w:p>
            <w:r>
              <w:t>-</w:t>
            </w:r>
          </w:p>
        </w:tc>
        <w:tc>
          <w:tcPr>
            <w:tcW w:type="dxa" w:w="2880"/>
          </w:tcPr>
          <w:p>
            <w:r>
              <w:t>east：101.28305555</w:t>
            </w:r>
          </w:p>
        </w:tc>
      </w:tr>
      <w:tr>
        <w:tc>
          <w:tcPr>
            <w:tcW w:type="dxa" w:w="2880"/>
          </w:tcPr>
          <w:p>
            <w:r>
              <w:t>-</w:t>
            </w:r>
          </w:p>
        </w:tc>
        <w:tc>
          <w:tcPr>
            <w:tcW w:type="dxa" w:w="2880"/>
          </w:tcPr>
          <w:p>
            <w:r>
              <w:t>south：38.70694444</w:t>
            </w:r>
          </w:p>
        </w:tc>
        <w:tc>
          <w:tcPr>
            <w:tcW w:type="dxa" w:w="2880"/>
          </w:tcPr>
          <w:p>
            <w:r>
              <w:t>-</w:t>
            </w:r>
          </w:p>
        </w:tc>
      </w:tr>
    </w:tbl>
    <w:p>
      <w:r>
        <w:rPr>
          <w:sz w:val="32"/>
        </w:rPr>
        <w:t>5、Time frame:</w:t>
      </w:r>
      <w:r>
        <w:rPr>
          <w:sz w:val="22"/>
        </w:rPr>
        <w:t>2018-11-24 02:47:04+00:00</w:t>
      </w:r>
      <w:r>
        <w:rPr>
          <w:sz w:val="22"/>
        </w:rPr>
        <w:t>--</w:t>
      </w:r>
      <w:r>
        <w:rPr>
          <w:sz w:val="22"/>
        </w:rPr>
        <w:t>2018-11-24 02:47:04+00:00</w:t>
      </w:r>
    </w:p>
    <w:p>
      <w:r>
        <w:rPr>
          <w:sz w:val="32"/>
        </w:rPr>
        <w:t>6、Reference method</w:t>
      </w:r>
    </w:p>
    <w:p>
      <w:pPr>
        <w:ind w:left="432"/>
      </w:pPr>
      <w:r>
        <w:rPr>
          <w:sz w:val="22"/>
        </w:rPr>
        <w:t xml:space="preserve">References to data: </w:t>
      </w:r>
    </w:p>
    <w:p>
      <w:pPr>
        <w:ind w:left="432" w:firstLine="432"/>
      </w:pPr>
      <w:r>
        <w:t>The data of field investigation and experimental observations of intraspecific and interspecific relationship (2013). A Big Earth Data Platform for Three Poles, doi:10.3972/heihe.215.2013.db</w:t>
      </w:r>
      <w:r>
        <w:rPr>
          <w:sz w:val="22"/>
        </w:rPr>
        <w:t>2014</w:t>
      </w:r>
    </w:p>
    <w:p>
      <w:pPr>
        <w:ind w:left="432"/>
      </w:pPr>
      <w:r>
        <w:rPr>
          <w:sz w:val="22"/>
        </w:rPr>
        <w:t xml:space="preserve">References to articles: </w:t>
      </w:r>
    </w:p>
    <w:p>
      <w:pPr>
        <w:ind w:left="864"/>
      </w:pPr>
      <w:r>
        <w:t>张海娜, 苏培玺, 李善家, 周紫鹃, 解婷婷, 赵庆芳. (2013). 荒漠区植物光合器官解剖结构对水分利用效率的指示作用. 生态学报, 33(16): 4909-4918.</w:t>
        <w:br/>
        <w:br/>
      </w:r>
    </w:p>
    <w:p>
      <w:r>
        <w:rPr>
          <w:sz w:val="32"/>
        </w:rPr>
        <w:t>7、Supporting project information</w:t>
      </w:r>
    </w:p>
    <w:p>
      <w:pPr>
        <w:ind w:left="432"/>
      </w:pPr>
      <w:r>
        <w:rPr>
          <w:sz w:val="22"/>
        </w:rPr>
        <w:t>Water use efficiency and related regulation mechanisms of desert vegetation in different scales</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