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LAI and FAPAR field measured datasets in Heihe Basin ( 2012 )</w:t>
      </w:r>
    </w:p>
    <w:p>
      <w:r>
        <w:rPr>
          <w:sz w:val="32"/>
        </w:rPr>
        <w:t>1、Description</w:t>
      </w:r>
    </w:p>
    <w:p>
      <w:pPr>
        <w:ind w:firstLine="432"/>
      </w:pPr>
      <w:r>
        <w:rPr>
          <w:sz w:val="22"/>
        </w:rPr>
        <w:t>This data includes FAPAR and LAI data of ground sample points collected in 2012.The acquisition equipment were SunScane and lai-2000.Among them, the spread value was obtained by FAPAR measurement for 4 times.The sampling sites were located around zhangye on July 15, 2012 at solstice on July 4, 2012, including arol, linze, jiulongjiang forest farm, danoguchi and wuxing village.A total of 637 sets of data were measured.</w:t>
      </w:r>
    </w:p>
    <w:p>
      <w:r>
        <w:rPr>
          <w:sz w:val="32"/>
        </w:rPr>
        <w:t>2、Keywords</w:t>
      </w:r>
    </w:p>
    <w:p>
      <w:pPr>
        <w:ind w:left="432"/>
      </w:pPr>
      <w:r>
        <w:rPr>
          <w:sz w:val="22"/>
        </w:rPr>
        <w:t>Theme：</w:t>
      </w:r>
      <w:r>
        <w:rPr>
          <w:sz w:val="22"/>
        </w:rPr>
        <w:t>Photosynthetically active radiation</w:t>
      </w:r>
      <w:r>
        <w:t>,</w:t>
      </w:r>
      <w:r>
        <w:rPr>
          <w:sz w:val="22"/>
        </w:rPr>
        <w:t>Leaf area index</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Zhangye</w:t>
      </w:r>
      <w:r>
        <w:t xml:space="preserve">, </w:t>
      </w:r>
      <w:r>
        <w:rPr>
          <w:sz w:val="22"/>
        </w:rPr>
        <w:t>Jiulongjiang forest farm</w:t>
      </w:r>
      <w:r>
        <w:t xml:space="preserve">, </w:t>
      </w:r>
      <w:r>
        <w:rPr>
          <w:sz w:val="22"/>
        </w:rPr>
        <w:t>Wuxingcun</w:t>
      </w:r>
      <w:r>
        <w:t xml:space="preserve">, </w:t>
      </w:r>
      <w:r>
        <w:rPr>
          <w:sz w:val="22"/>
        </w:rPr>
        <w:t>Dayekou</w:t>
      </w:r>
      <w:r>
        <w:t xml:space="preserve">, </w:t>
      </w:r>
      <w:r>
        <w:rPr>
          <w:sz w:val="22"/>
        </w:rPr>
        <w:t>Linze</w:t>
      </w:r>
      <w:r>
        <w:t xml:space="preserve">, </w:t>
      </w:r>
      <w:r>
        <w:rPr>
          <w:sz w:val="22"/>
        </w:rPr>
        <w:t>A’rou</w:t>
        <w:br/>
      </w:r>
      <w:r>
        <w:rPr>
          <w:sz w:val="22"/>
        </w:rPr>
        <w:t>Time：</w:t>
      </w:r>
      <w:r>
        <w:rPr>
          <w:sz w:val="22"/>
        </w:rPr>
        <w:t>2012</w:t>
      </w:r>
    </w:p>
    <w:p>
      <w:r>
        <w:rPr>
          <w:sz w:val="32"/>
        </w:rPr>
        <w:t>3、Data details</w:t>
      </w:r>
    </w:p>
    <w:p>
      <w:pPr>
        <w:ind w:left="432"/>
      </w:pPr>
      <w:r>
        <w:rPr>
          <w:sz w:val="22"/>
        </w:rPr>
        <w:t>1.Scale：250000</w:t>
      </w:r>
    </w:p>
    <w:p>
      <w:pPr>
        <w:ind w:left="432"/>
      </w:pPr>
      <w:r>
        <w:rPr>
          <w:sz w:val="22"/>
        </w:rPr>
        <w:t>2.Projection：None</w:t>
      </w:r>
    </w:p>
    <w:p>
      <w:pPr>
        <w:ind w:left="432"/>
      </w:pPr>
      <w:r>
        <w:rPr>
          <w:sz w:val="22"/>
        </w:rPr>
        <w:t>3.Filesize：0.04MB</w:t>
      </w:r>
    </w:p>
    <w:p>
      <w:pPr>
        <w:ind w:left="432"/>
      </w:pPr>
      <w:r>
        <w:rPr>
          <w:sz w:val="22"/>
        </w:rPr>
        <w:t>4.Data format：xls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north：39.3472</w:t>
            </w:r>
          </w:p>
        </w:tc>
        <w:tc>
          <w:tcPr>
            <w:tcW w:type="dxa" w:w="2880"/>
          </w:tcPr>
          <w:p>
            <w:r>
              <w:t>-</w:t>
            </w:r>
          </w:p>
        </w:tc>
      </w:tr>
      <w:tr>
        <w:tc>
          <w:tcPr>
            <w:tcW w:type="dxa" w:w="2880"/>
          </w:tcPr>
          <w:p>
            <w:r>
              <w:t>west：100.136</w:t>
            </w:r>
          </w:p>
        </w:tc>
        <w:tc>
          <w:tcPr>
            <w:tcW w:type="dxa" w:w="2880"/>
          </w:tcPr>
          <w:p>
            <w:r>
              <w:t>-</w:t>
            </w:r>
          </w:p>
        </w:tc>
        <w:tc>
          <w:tcPr>
            <w:tcW w:type="dxa" w:w="2880"/>
          </w:tcPr>
          <w:p>
            <w:r>
              <w:t>east：100.57</w:t>
            </w:r>
          </w:p>
        </w:tc>
      </w:tr>
      <w:tr>
        <w:tc>
          <w:tcPr>
            <w:tcW w:type="dxa" w:w="2880"/>
          </w:tcPr>
          <w:p>
            <w:r>
              <w:t>-</w:t>
            </w:r>
          </w:p>
        </w:tc>
        <w:tc>
          <w:tcPr>
            <w:tcW w:type="dxa" w:w="2880"/>
          </w:tcPr>
          <w:p>
            <w:r>
              <w:t>south：38.0504</w:t>
            </w:r>
          </w:p>
        </w:tc>
        <w:tc>
          <w:tcPr>
            <w:tcW w:type="dxa" w:w="2880"/>
          </w:tcPr>
          <w:p>
            <w:r>
              <w:t>-</w:t>
            </w:r>
          </w:p>
        </w:tc>
      </w:tr>
    </w:tbl>
    <w:p>
      <w:r>
        <w:rPr>
          <w:sz w:val="32"/>
        </w:rPr>
        <w:t>5、Time frame:</w:t>
      </w:r>
      <w:r>
        <w:rPr>
          <w:sz w:val="22"/>
        </w:rPr>
        <w:t>2012-07-20 20:38:00+00:00</w:t>
      </w:r>
      <w:r>
        <w:rPr>
          <w:sz w:val="22"/>
        </w:rPr>
        <w:t>--</w:t>
      </w:r>
      <w:r>
        <w:rPr>
          <w:sz w:val="22"/>
        </w:rPr>
        <w:t>2012-07-31 20:38:00+00:00</w:t>
      </w:r>
    </w:p>
    <w:p>
      <w:r>
        <w:rPr>
          <w:sz w:val="32"/>
        </w:rPr>
        <w:t>6、Reference method</w:t>
      </w:r>
    </w:p>
    <w:p>
      <w:pPr>
        <w:ind w:left="432"/>
      </w:pPr>
      <w:r>
        <w:rPr>
          <w:sz w:val="22"/>
        </w:rPr>
        <w:t xml:space="preserve">References to data: </w:t>
      </w:r>
    </w:p>
    <w:p>
      <w:pPr>
        <w:ind w:left="432" w:firstLine="432"/>
      </w:pPr>
      <w:r>
        <w:t>LAI and FAPAR field measured datasets in Heihe Basin ( 2012 ). A Big Earth Data Platform for Three Poles, doi:10.3972/heihe.086.2014.db</w:t>
      </w:r>
      <w:r>
        <w:rPr>
          <w:sz w:val="22"/>
        </w:rPr>
        <w:t>2015</w:t>
      </w:r>
    </w:p>
    <w:p>
      <w:pPr>
        <w:ind w:left="432"/>
      </w:pPr>
      <w:r>
        <w:rPr>
          <w:sz w:val="22"/>
        </w:rPr>
        <w:t xml:space="preserve">References to articles: </w:t>
      </w:r>
    </w:p>
    <w:p>
      <w:pPr>
        <w:ind w:left="864"/>
      </w:pPr>
      <w:r>
        <w:t>Fan, W. , Liu, Y. , Xu, X. , Chen, G. , &amp; Zhang, B. . (2014). A new fapar analytical model based on the law of energy conservation: a case study in china. IEEE Journal of Selected Topics in Applied Earth Observations and Remote Sensing, 7(9), 3945-3955.</w:t>
        <w:br/>
        <w:br/>
      </w:r>
    </w:p>
    <w:p>
      <w:r>
        <w:rPr>
          <w:sz w:val="32"/>
        </w:rPr>
        <w:t>7、Supporting project information</w:t>
      </w:r>
    </w:p>
    <w:p>
      <w:pPr>
        <w:ind w:left="432"/>
      </w:pP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